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C98" w:rsidRDefault="000C4C98" w:rsidP="000C4C98">
      <w:pPr>
        <w:pStyle w:val="Heading2"/>
        <w:ind w:left="720"/>
        <w:rPr>
          <w:rFonts w:cs="Times New Roman"/>
          <w:sz w:val="24"/>
          <w:szCs w:val="24"/>
        </w:rPr>
      </w:pPr>
      <w:r>
        <w:rPr>
          <w:rFonts w:cs="Times New Roman"/>
          <w:sz w:val="24"/>
          <w:szCs w:val="24"/>
        </w:rPr>
        <w:t>THỊ TRƯỜNG NGOẠI HỐI</w:t>
      </w:r>
    </w:p>
    <w:p w:rsidR="000C4C98" w:rsidRDefault="000C4C98" w:rsidP="000C4C98">
      <w:pPr>
        <w:snapToGrid w:val="0"/>
        <w:spacing w:before="120" w:after="120" w:line="312" w:lineRule="auto"/>
        <w:ind w:firstLine="567"/>
        <w:jc w:val="both"/>
        <w:rPr>
          <w:kern w:val="28"/>
          <w:sz w:val="26"/>
          <w:szCs w:val="26"/>
          <w:lang w:val="vi-VN"/>
        </w:rPr>
      </w:pPr>
      <w:r>
        <w:rPr>
          <w:kern w:val="28"/>
          <w:sz w:val="26"/>
          <w:szCs w:val="26"/>
        </w:rPr>
        <w:t>T</w:t>
      </w:r>
      <w:r>
        <w:rPr>
          <w:kern w:val="28"/>
          <w:sz w:val="26"/>
          <w:szCs w:val="26"/>
          <w:lang w:val="vi-VN"/>
        </w:rPr>
        <w:t xml:space="preserve">hị trường diễn ra việc trao đổi ngoại hối. Ngoại hối bao gồm ngoại tệ, các khoản tiền gửi ngân hàng bằng ngoại tệ trái phiếu nước ngoài và vàng. Do các khoản tiền gửi ngân hàng bằng nhiều đồng tiền khác nhau chiếm đa số còn ngoại tệ chỉ chiếm tỷ trọng nhỏ trong các giao dịch trên thị trường nên thị trường này được gọi là TTNH chứ không phải là thị trường ngoại tệ. </w:t>
      </w:r>
    </w:p>
    <w:p w:rsidR="000C4C98" w:rsidRDefault="000C4C98" w:rsidP="000C4C98">
      <w:pPr>
        <w:snapToGrid w:val="0"/>
        <w:spacing w:before="120" w:after="120" w:line="312" w:lineRule="auto"/>
        <w:ind w:firstLine="567"/>
        <w:jc w:val="both"/>
        <w:rPr>
          <w:kern w:val="28"/>
          <w:sz w:val="26"/>
          <w:szCs w:val="26"/>
          <w:lang w:val="vi-VN"/>
        </w:rPr>
      </w:pPr>
      <w:r>
        <w:rPr>
          <w:kern w:val="28"/>
          <w:sz w:val="26"/>
          <w:szCs w:val="26"/>
          <w:lang w:val="vi-VN"/>
        </w:rPr>
        <w:t>TTNH xuất hiện vào khoảng cuối thế kỷ XVIII. Tỷ giá hối đoái ban đầu được cố định dựa trên chế độ bản vị vàng. Sau Chiến tranh Thế giới thứ hai, TTNH trải qua những thay đổi lớn. Hiệp định Bretton Woods năm 1944 đã đặt nền móng cho một hệ thống tiền tệ quốc tế dựa trên khả năng chuyển đổi nhiều đồng tiền quốc gia khác nhau sang đồng đô-la Mỹ, tiếp đến được chuyển đổi thành vàng theo mức giá cố định (1ounce vàng có giá 35 USD). Sau khi hệ thống tiền tệ Bretton Woods sụp đổ vào năm 1973, tỷ giá hối đoái cố định được thay thế bằng tỷ giá thả nổi.</w:t>
      </w:r>
    </w:p>
    <w:p w:rsidR="000C4C98" w:rsidRDefault="000C4C98" w:rsidP="000C4C98">
      <w:pPr>
        <w:snapToGrid w:val="0"/>
        <w:spacing w:before="120" w:after="120" w:line="312" w:lineRule="auto"/>
        <w:ind w:firstLine="567"/>
        <w:jc w:val="both"/>
        <w:rPr>
          <w:kern w:val="28"/>
          <w:sz w:val="26"/>
          <w:szCs w:val="26"/>
          <w:lang w:val="vi-VN"/>
        </w:rPr>
      </w:pPr>
      <w:r>
        <w:rPr>
          <w:kern w:val="28"/>
          <w:sz w:val="26"/>
          <w:szCs w:val="26"/>
          <w:lang w:val="vi-VN"/>
        </w:rPr>
        <w:t xml:space="preserve">TTNH thực hiện một chức năng quan trọng là xác lập tỷ giá hối đoái. Đây là một biến số kinh tế vĩ mô có mức độ ảnh hưởng đáng kể đến hoạt động của nền kinh tế và hoạt động kinh doanh của các tổ chức kinh tế. TTNH là nơi cho phép trao đổi ngoại hối nên nó tạo điều kiện thuận lợi cho hoạt động thương mại quốc tế và đầu tư quốc tế phát triển. Bên cạnh đó, TTNH còn cung cấp các công cụ đầu cơ và bảo hiểm rủi ro tỷ giá. </w:t>
      </w:r>
    </w:p>
    <w:p w:rsidR="000C4C98" w:rsidRDefault="000C4C98" w:rsidP="000C4C98">
      <w:pPr>
        <w:snapToGrid w:val="0"/>
        <w:spacing w:before="120" w:after="120" w:line="312" w:lineRule="auto"/>
        <w:ind w:firstLine="567"/>
        <w:jc w:val="both"/>
        <w:rPr>
          <w:kern w:val="28"/>
          <w:sz w:val="26"/>
          <w:szCs w:val="26"/>
          <w:lang w:val="vi-VN"/>
        </w:rPr>
      </w:pPr>
      <w:r>
        <w:rPr>
          <w:kern w:val="28"/>
          <w:sz w:val="26"/>
          <w:szCs w:val="26"/>
          <w:lang w:val="vi-VN"/>
        </w:rPr>
        <w:t xml:space="preserve">Tham gia vào TTNH là các ngân hàng thương mại, các công ty, các tổ chức tài chính phi ngân hàng và ngân hàng Trung ương. Thành viên hoạt động tích cực nhất trên TTNH chính là các ngân hàng thương mại.Các ngân hàng thương mại tham gia TTNH với tư cách mua bán hộ ngoại hối cho các khách hàng để hưởng chênh lệch giữa giá mua và giá bán hoặc tham gia đầu cơ để tìm kiếm lợi nhuận trong ngắn hạn. Các giao dịch bán buôn được thực hiện giữa các ngân hàng thương mại với nhau, hình thành nên thị trường liên ngân hàng.Ngày nay, hoạt động của thị trường liên ngân hàng đang chiếm ưu thế trên TTNH. Nhóm khách hàng gồm các cá nhân và các công ty mua bán ngoại hối phục vụ cho hoạt động thương mại và đầu tư quốc tế của mình. Các tổ chức tài chính phi ngân hàng bao gồm các ngân hàng đầu tư, công ty bảo hiểm, quỹ hưu </w:t>
      </w:r>
      <w:r>
        <w:rPr>
          <w:spacing w:val="-2"/>
          <w:kern w:val="28"/>
          <w:sz w:val="26"/>
          <w:szCs w:val="26"/>
          <w:lang w:val="vi-VN"/>
        </w:rPr>
        <w:t xml:space="preserve">trí và quỹ tương hỗ mua bán ngoại hối nhằm phục vụ cho hoạt động đầu tư và </w:t>
      </w:r>
      <w:r>
        <w:rPr>
          <w:spacing w:val="-4"/>
          <w:kern w:val="28"/>
          <w:sz w:val="26"/>
          <w:szCs w:val="26"/>
          <w:lang w:val="vi-VN"/>
        </w:rPr>
        <w:t xml:space="preserve">đầu cơ. Ngân hàng trung ương tham gia TTNH với tư cách là ngân hàng của chính </w:t>
      </w:r>
      <w:r>
        <w:rPr>
          <w:kern w:val="28"/>
          <w:sz w:val="26"/>
          <w:szCs w:val="26"/>
          <w:lang w:val="vi-VN"/>
        </w:rPr>
        <w:t>phủ và là cơ quan điều hành chính sách tiền tệ và chính sách tỷ giá hối đoái.</w:t>
      </w:r>
    </w:p>
    <w:p w:rsidR="000C4C98" w:rsidRDefault="000C4C98" w:rsidP="000C4C98">
      <w:pPr>
        <w:snapToGrid w:val="0"/>
        <w:spacing w:before="120" w:after="120" w:line="312" w:lineRule="auto"/>
        <w:ind w:firstLine="567"/>
        <w:jc w:val="both"/>
        <w:rPr>
          <w:kern w:val="28"/>
          <w:sz w:val="26"/>
          <w:szCs w:val="26"/>
          <w:lang w:val="vi-VN"/>
        </w:rPr>
      </w:pPr>
      <w:r>
        <w:rPr>
          <w:kern w:val="28"/>
          <w:sz w:val="26"/>
          <w:szCs w:val="26"/>
          <w:lang w:val="vi-VN"/>
        </w:rPr>
        <w:lastRenderedPageBreak/>
        <w:t>TTNH là thị trường phi tập trung vì người mua và người bán hiếm khi gặp nhau. TTNH phi tập trung có mặt trên toàn thế giới, với một số trung tâm nổi tiếng như New York, London, Frankfurt, Sydney, Tokyo và Singapore. Sự phát triển của công nghệ thông tin đóng vai trò quan trọng trong sự phát triển của TTNH vì các giao dịch hiện nay chủ yếu được thực hiện trực tuyến. Giao dịch trực tuyến đã dần thay thế các giao dịch truyền thống được tiến hành hơn 100 nămqua điện tín, điện thoại, hệ thống fax, đã làm tăng số lượng giao dịch cũng như tổng giá trị giao dịch. TTNH là thị trường tài chính lớn nhất thế giới với tổng các giao dịch trên thị trường bao gồm giao dịch giao ngay, kỳ hạn, hoán đổi và giao dịch quyền chọn đạt hơn 5 nghìn tỷ USD mỗi ngày. Các giao dịch bán buôn chiếm tỷ trọng lớn. Đồng đô la Mỹ giữ vị trí thống trị trên TTNH với hơn 90% các giao dịch sử dụng đồng đô la Mỹ. Sự phát triển của công nghệ thông tin đã gắn kết các TTNH trên toàn thế giới hoạt động 24 giờ mỗi ngày do các trung tâm tài chính lớn tập trung ở các khu vực có múi giờ khác nhau.Trong thời đại liên lạc điện tử với tốc độ giao dịch nhanh và chi phí giao dịch thấp, mức chênh lệch tỷ giá giữa hai thị trường dù nhỏ đến một phần trăm nghìn sẽ được xóa bỏ nhanh chóng.</w:t>
      </w:r>
    </w:p>
    <w:p w:rsidR="000C4C98" w:rsidRDefault="000C4C98" w:rsidP="000C4C98">
      <w:pPr>
        <w:snapToGrid w:val="0"/>
        <w:spacing w:before="120" w:after="120" w:line="312" w:lineRule="auto"/>
        <w:ind w:firstLine="567"/>
        <w:jc w:val="both"/>
        <w:rPr>
          <w:kern w:val="28"/>
          <w:sz w:val="26"/>
          <w:szCs w:val="26"/>
          <w:lang w:val="vi-VN"/>
        </w:rPr>
      </w:pPr>
      <w:r>
        <w:rPr>
          <w:kern w:val="28"/>
          <w:sz w:val="26"/>
          <w:szCs w:val="26"/>
          <w:lang w:val="vi-VN"/>
        </w:rPr>
        <w:t>Hoạt động của TTNH chịu sự chi phối của chính sách tỷ giá. Chính sach tỷ giá có quan hệ mật thiết với chính sách tiền tệ và chính sách tài khóa. Hoạt động của thị trường ngoại và sử dụng ngoại hối trên lãnh thổ Việt Nam tuân theo quy định tại Luật NHNN và Luật các tổ chức tín dụng năm 2010, Pháp lệnh ngoại hối năm 2005, Nghị định 160/2006/NĐ-CP ngày 28.12.2006 của Chính phủ hướng dẫn chi tiết thi hành Pháp lệnh ngoại hối; Nghị định số 96/2008/NĐ-CP ngày 26.8.2008 của Chính phủ quy định chức năng, nhiệm vụ, quyền hạn, cơ cấu tổ chức của NHNN Việt nam; Nghị định số 24/2012/NĐCP ngày 03.4.2012 về quản lý hoạt động kinh doanh vàng và các văn bản quy phạm pháp luật liên quan.</w:t>
      </w:r>
    </w:p>
    <w:p w:rsidR="000C4C98" w:rsidRDefault="000C4C98" w:rsidP="000C4C98">
      <w:pPr>
        <w:snapToGrid w:val="0"/>
        <w:spacing w:before="120" w:after="120" w:line="312" w:lineRule="auto"/>
        <w:ind w:firstLine="420"/>
        <w:jc w:val="right"/>
        <w:rPr>
          <w:b/>
          <w:sz w:val="24"/>
        </w:rPr>
      </w:pPr>
      <w:r>
        <w:rPr>
          <w:b/>
          <w:sz w:val="26"/>
          <w:szCs w:val="26"/>
          <w:lang w:val="vi-VN"/>
        </w:rPr>
        <w:t xml:space="preserve"> </w:t>
      </w:r>
      <w:r>
        <w:rPr>
          <w:b/>
          <w:sz w:val="24"/>
          <w:lang w:val="vi-VN"/>
        </w:rPr>
        <w:t>NGUYỄN HỒNG SƠN</w:t>
      </w:r>
      <w:r>
        <w:rPr>
          <w:b/>
          <w:sz w:val="24"/>
        </w:rPr>
        <w:t>,</w:t>
      </w:r>
      <w:r>
        <w:rPr>
          <w:b/>
          <w:sz w:val="24"/>
          <w:lang w:val="vi-VN"/>
        </w:rPr>
        <w:t xml:space="preserve"> TRẦN VIỆT DUNG</w:t>
      </w:r>
    </w:p>
    <w:p w:rsidR="000C4C98" w:rsidRPr="000C4C98" w:rsidRDefault="000C4C98" w:rsidP="000C4C98">
      <w:pPr>
        <w:snapToGrid w:val="0"/>
        <w:spacing w:before="120" w:after="120" w:line="312" w:lineRule="auto"/>
        <w:ind w:firstLine="420"/>
        <w:rPr>
          <w:b/>
          <w:sz w:val="24"/>
        </w:rPr>
      </w:pPr>
      <w:bookmarkStart w:id="0" w:name="_GoBack"/>
      <w:bookmarkEnd w:id="0"/>
      <w:r>
        <w:rPr>
          <w:b/>
          <w:kern w:val="28"/>
          <w:sz w:val="26"/>
          <w:szCs w:val="26"/>
        </w:rPr>
        <w:t>Tài liệu tham khảo</w:t>
      </w:r>
    </w:p>
    <w:p w:rsidR="000C4C98" w:rsidRDefault="000C4C98" w:rsidP="000C4C98">
      <w:pPr>
        <w:numPr>
          <w:ilvl w:val="0"/>
          <w:numId w:val="1"/>
        </w:numPr>
        <w:snapToGrid w:val="0"/>
        <w:spacing w:before="120" w:after="120" w:line="312" w:lineRule="auto"/>
        <w:ind w:left="567" w:firstLine="0"/>
        <w:jc w:val="both"/>
        <w:rPr>
          <w:kern w:val="28"/>
          <w:sz w:val="26"/>
          <w:szCs w:val="26"/>
          <w:lang w:val="vi-VN"/>
        </w:rPr>
      </w:pPr>
      <w:r>
        <w:rPr>
          <w:kern w:val="28"/>
          <w:sz w:val="26"/>
          <w:szCs w:val="26"/>
          <w:lang w:val="vi-VN"/>
        </w:rPr>
        <w:t xml:space="preserve">BIS, </w:t>
      </w:r>
      <w:r>
        <w:rPr>
          <w:i/>
          <w:kern w:val="28"/>
          <w:sz w:val="26"/>
          <w:szCs w:val="26"/>
          <w:lang w:val="vi-VN"/>
        </w:rPr>
        <w:t>Triennial Central Bank Survey Foreign exchange turnover in 2016</w:t>
      </w:r>
    </w:p>
    <w:p w:rsidR="000C4C98" w:rsidRDefault="000C4C98" w:rsidP="000C4C98">
      <w:pPr>
        <w:numPr>
          <w:ilvl w:val="0"/>
          <w:numId w:val="1"/>
        </w:numPr>
        <w:snapToGrid w:val="0"/>
        <w:spacing w:before="120" w:after="120" w:line="312" w:lineRule="auto"/>
        <w:ind w:left="567" w:firstLine="0"/>
        <w:jc w:val="both"/>
        <w:rPr>
          <w:kern w:val="28"/>
          <w:sz w:val="26"/>
          <w:szCs w:val="26"/>
          <w:lang w:val="vi-VN"/>
        </w:rPr>
      </w:pPr>
      <w:hyperlink r:id="rId5" w:history="1">
        <w:r>
          <w:rPr>
            <w:kern w:val="28"/>
            <w:sz w:val="26"/>
            <w:szCs w:val="26"/>
            <w:lang w:val="vi-VN"/>
          </w:rPr>
          <w:t>Paul R., Obstfeld, Maurice, Melitz, Marc Krugman</w:t>
        </w:r>
      </w:hyperlink>
      <w:r>
        <w:rPr>
          <w:kern w:val="28"/>
          <w:sz w:val="26"/>
          <w:szCs w:val="26"/>
        </w:rPr>
        <w:t xml:space="preserve">, </w:t>
      </w:r>
      <w:r>
        <w:rPr>
          <w:i/>
          <w:kern w:val="28"/>
          <w:sz w:val="26"/>
          <w:szCs w:val="26"/>
        </w:rPr>
        <w:t>International Economics: Theory and Policy</w:t>
      </w:r>
      <w:r>
        <w:rPr>
          <w:kern w:val="28"/>
          <w:sz w:val="26"/>
          <w:szCs w:val="26"/>
        </w:rPr>
        <w:t>, edition 10. Pearson, 2017</w:t>
      </w:r>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D1716"/>
    <w:multiLevelType w:val="multilevel"/>
    <w:tmpl w:val="376D171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98"/>
    <w:rsid w:val="000358AD"/>
    <w:rsid w:val="00052F55"/>
    <w:rsid w:val="000A6502"/>
    <w:rsid w:val="000C4C98"/>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6528"/>
    <w:rsid w:val="00816F1D"/>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680F"/>
  <w15:chartTrackingRefBased/>
  <w15:docId w15:val="{C4CC6F86-2ED4-4DF2-8AB0-77745FC3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C98"/>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0C4C98"/>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C4C98"/>
    <w:rPr>
      <w:rFonts w:ascii="Times New Roman" w:eastAsia="Times New Roman" w:hAnsi="Times New Roman" w:cs="Arial"/>
      <w:b/>
      <w:kern w:val="28"/>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s/ref=dp_byline_sr_book_1?ie=UTF8&amp;text=Paul+R.%2C+Obstfeld%2C+Maurice%2C+Melitz%2C+Marc+Krugman&amp;search-alias=books&amp;field-author=Paul+R.%2C+Obstfeld%2C+Maurice%2C+Melitz%2C+Marc+Krugman&amp;sort=relevancer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2025-12-27T10:18:00Z</dcterms:created>
  <dcterms:modified xsi:type="dcterms:W3CDTF">2025-12-27T10:18:00Z</dcterms:modified>
</cp:coreProperties>
</file>